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BE952" w14:textId="77777777" w:rsidR="007446B6" w:rsidRDefault="007446B6" w:rsidP="007446B6">
      <w:pPr>
        <w:spacing w:after="0" w:line="240" w:lineRule="atLeast"/>
        <w:jc w:val="right"/>
        <w:rPr>
          <w:b/>
          <w:bCs/>
        </w:rPr>
      </w:pPr>
      <w:r>
        <w:rPr>
          <w:b/>
          <w:bCs/>
        </w:rPr>
        <w:t xml:space="preserve">Приложение 1 </w:t>
      </w:r>
    </w:p>
    <w:p w14:paraId="6D72B080" w14:textId="77777777" w:rsidR="007446B6" w:rsidRDefault="007446B6" w:rsidP="007446B6">
      <w:pPr>
        <w:spacing w:after="0" w:line="240" w:lineRule="atLeast"/>
        <w:jc w:val="right"/>
        <w:rPr>
          <w:b/>
          <w:bCs/>
        </w:rPr>
      </w:pPr>
      <w:r>
        <w:rPr>
          <w:b/>
          <w:bCs/>
        </w:rPr>
        <w:t>К протоколу кредитного комитета АО «Великие Луки банк»</w:t>
      </w:r>
    </w:p>
    <w:p w14:paraId="63EA03CD" w14:textId="77777777" w:rsidR="007446B6" w:rsidRDefault="007446B6" w:rsidP="007446B6">
      <w:pPr>
        <w:spacing w:after="0" w:line="240" w:lineRule="atLeast"/>
        <w:jc w:val="right"/>
        <w:rPr>
          <w:b/>
          <w:bCs/>
        </w:rPr>
      </w:pPr>
      <w:r>
        <w:rPr>
          <w:b/>
          <w:bCs/>
        </w:rPr>
        <w:t>от «</w:t>
      </w:r>
      <w:r>
        <w:rPr>
          <w:b/>
          <w:bCs/>
          <w:u w:val="single"/>
        </w:rPr>
        <w:t>26</w:t>
      </w:r>
      <w:r>
        <w:rPr>
          <w:b/>
          <w:bCs/>
        </w:rPr>
        <w:t xml:space="preserve">» </w:t>
      </w:r>
      <w:r>
        <w:rPr>
          <w:b/>
          <w:bCs/>
          <w:u w:val="single"/>
        </w:rPr>
        <w:t xml:space="preserve">сентября </w:t>
      </w:r>
      <w:r>
        <w:rPr>
          <w:b/>
          <w:bCs/>
        </w:rPr>
        <w:t xml:space="preserve"> 2022г.</w:t>
      </w:r>
    </w:p>
    <w:p w14:paraId="23A0BF7E" w14:textId="77777777" w:rsidR="007446B6" w:rsidRDefault="007446B6" w:rsidP="007446B6">
      <w:pPr>
        <w:spacing w:after="0" w:line="240" w:lineRule="atLeast"/>
        <w:jc w:val="right"/>
        <w:rPr>
          <w:b/>
          <w:bCs/>
        </w:rPr>
      </w:pPr>
    </w:p>
    <w:p w14:paraId="68DF0D74" w14:textId="77777777" w:rsidR="007446B6" w:rsidRDefault="007446B6" w:rsidP="007446B6">
      <w:pPr>
        <w:spacing w:after="0" w:line="240" w:lineRule="atLeast"/>
        <w:jc w:val="right"/>
        <w:rPr>
          <w:b/>
          <w:bCs/>
        </w:rPr>
      </w:pPr>
    </w:p>
    <w:p w14:paraId="5013FC52" w14:textId="77777777" w:rsidR="007446B6" w:rsidRDefault="007446B6" w:rsidP="007446B6">
      <w:pPr>
        <w:spacing w:after="0" w:line="240" w:lineRule="atLeast"/>
        <w:jc w:val="right"/>
        <w:rPr>
          <w:b/>
          <w:bCs/>
        </w:rPr>
      </w:pPr>
    </w:p>
    <w:p w14:paraId="29C3C62F" w14:textId="77777777" w:rsidR="007446B6" w:rsidRDefault="007446B6" w:rsidP="007446B6">
      <w:pPr>
        <w:spacing w:after="0" w:line="240" w:lineRule="atLeast"/>
        <w:jc w:val="right"/>
        <w:rPr>
          <w:b/>
          <w:bCs/>
        </w:rPr>
      </w:pPr>
    </w:p>
    <w:p w14:paraId="5696BE3B" w14:textId="77777777" w:rsidR="007446B6" w:rsidRDefault="007446B6" w:rsidP="007446B6">
      <w:pPr>
        <w:spacing w:after="0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Условия привлечения денежных средств физических лиц во вклады</w:t>
      </w:r>
    </w:p>
    <w:p w14:paraId="700CD05F" w14:textId="77777777" w:rsidR="007446B6" w:rsidRDefault="007446B6" w:rsidP="007446B6">
      <w:pPr>
        <w:spacing w:after="0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АО «Великие Луки банк» </w:t>
      </w:r>
    </w:p>
    <w:p w14:paraId="36A2BEC7" w14:textId="77777777" w:rsidR="007446B6" w:rsidRDefault="007446B6" w:rsidP="007446B6">
      <w:pPr>
        <w:spacing w:after="0" w:line="24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(вводятся в действие с 01.10.2022г.)</w:t>
      </w:r>
    </w:p>
    <w:p w14:paraId="1C7DB249" w14:textId="77777777" w:rsidR="007446B6" w:rsidRDefault="007446B6" w:rsidP="007446B6"/>
    <w:p w14:paraId="1D2D53C4" w14:textId="77777777" w:rsidR="007446B6" w:rsidRDefault="007446B6" w:rsidP="007446B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  <w:r>
        <w:rPr>
          <w:rFonts w:ascii="Courier New" w:eastAsia="MS Mincho" w:hAnsi="Courier New" w:cs="Courier New"/>
          <w:b/>
          <w:sz w:val="28"/>
          <w:szCs w:val="28"/>
          <w:lang w:eastAsia="ru-RU"/>
        </w:rPr>
        <w:t>3.Условия договора банковского вклада</w:t>
      </w:r>
    </w:p>
    <w:p w14:paraId="6EF35759" w14:textId="77777777" w:rsidR="007446B6" w:rsidRDefault="007446B6" w:rsidP="007446B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  <w:r>
        <w:rPr>
          <w:rFonts w:ascii="Courier New" w:eastAsia="MS Mincho" w:hAnsi="Courier New" w:cs="Courier New"/>
          <w:b/>
          <w:sz w:val="28"/>
          <w:szCs w:val="28"/>
          <w:lang w:eastAsia="ru-RU"/>
        </w:rPr>
        <w:t>«Срочный возобновляемый (депозитный) 360 дней»</w:t>
      </w:r>
    </w:p>
    <w:p w14:paraId="086AE6AC" w14:textId="77777777" w:rsidR="007446B6" w:rsidRDefault="007446B6" w:rsidP="007446B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ourier New" w:eastAsia="MS Mincho" w:hAnsi="Courier New" w:cs="Courier New"/>
          <w:b/>
          <w:sz w:val="28"/>
          <w:szCs w:val="28"/>
          <w:lang w:eastAsia="ru-RU"/>
        </w:rPr>
      </w:pPr>
    </w:p>
    <w:tbl>
      <w:tblPr>
        <w:tblW w:w="1063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4848"/>
        <w:gridCol w:w="5108"/>
      </w:tblGrid>
      <w:tr w:rsidR="007446B6" w14:paraId="3307D31B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195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№ </w:t>
            </w:r>
          </w:p>
          <w:p w14:paraId="52791C0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61A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427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3131F62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64BC9E0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446B6" w14:paraId="33EDBA29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74B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973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961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46B6" w14:paraId="37369118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8D8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B38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Вид вклада</w:t>
            </w:r>
          </w:p>
          <w:p w14:paraId="5D34332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768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B7CEF5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2F5C61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Срочный вклад</w:t>
            </w:r>
          </w:p>
          <w:p w14:paraId="59BCA3F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4EB054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47CB4E90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1BD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C91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C9B389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Сумма и валюта вклада</w:t>
            </w:r>
          </w:p>
          <w:p w14:paraId="59D7E74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8AF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7141F1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9F8C57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val="en-US"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val="en-US" w:eastAsia="ru-RU"/>
              </w:rPr>
              <w:t>___________________</w:t>
            </w: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__________________</w:t>
            </w:r>
            <w:r>
              <w:rPr>
                <w:rFonts w:ascii="Courier New" w:eastAsia="MS Mincho" w:hAnsi="Courier New" w:cs="Courier New"/>
                <w:sz w:val="20"/>
                <w:szCs w:val="20"/>
                <w:lang w:val="en-US" w:eastAsia="ru-RU"/>
              </w:rPr>
              <w:t>_</w:t>
            </w:r>
          </w:p>
          <w:p w14:paraId="57BD1EF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val="en-US" w:eastAsia="ru-RU"/>
              </w:rPr>
              <w:t>(</w:t>
            </w: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цифрами и прописью)</w:t>
            </w:r>
          </w:p>
          <w:p w14:paraId="0D5A639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FAC757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Рубль РФ</w:t>
            </w:r>
          </w:p>
          <w:p w14:paraId="76236AF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7AF74B22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B31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7B5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07B0B6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B721A2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Возможность пополнения вклада, имеющиеся ограничения на пополнения вклада</w:t>
            </w:r>
          </w:p>
          <w:p w14:paraId="0361536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7C99A7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BCD7" w14:textId="77777777" w:rsidR="007446B6" w:rsidRDefault="007446B6">
            <w:pPr>
              <w:tabs>
                <w:tab w:val="left" w:pos="747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Пополнение возможно без ограничений</w:t>
            </w:r>
          </w:p>
        </w:tc>
      </w:tr>
      <w:tr w:rsidR="007446B6" w14:paraId="57EE468B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5F0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D276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Срок и дата возврата вклада – по срочным вкладам. </w:t>
            </w:r>
          </w:p>
          <w:p w14:paraId="090D5E6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 договорам банковского вклада, заключенным на условиях выдачи вклада по требованию, указываются слова «до востребования»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7F6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F26C69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D9E95AF" w14:textId="099F0012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360(Триста шестьдесят) дней*</w:t>
            </w:r>
          </w:p>
          <w:p w14:paraId="33D279CC" w14:textId="2C9756FC" w:rsidR="0008551F" w:rsidRDefault="00085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4F0CD26" w14:textId="77777777" w:rsidR="0008551F" w:rsidRDefault="00085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268BD6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«_____» ________________ 20___г.*</w:t>
            </w:r>
          </w:p>
          <w:p w14:paraId="1737D598" w14:textId="64FB0F35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E834D62" w14:textId="5E3C5602" w:rsidR="0008551F" w:rsidRDefault="00085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BBC676A" w14:textId="15D81B70" w:rsidR="0008551F" w:rsidRDefault="00085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EA14792" w14:textId="77777777" w:rsidR="0008551F" w:rsidRDefault="00085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409D746" w14:textId="77777777" w:rsidR="007446B6" w:rsidRDefault="007446B6" w:rsidP="0050406D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В случае если день возврата Вклада приходится на нерабочий день, последним днем срока Вклада считается следующий рабочий день.</w:t>
            </w:r>
          </w:p>
          <w:p w14:paraId="189474F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2580E1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7211A1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BF3A64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D3DA55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0FBD38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7C6646F7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294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25DE360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A5B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75A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440484C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70247738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63E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27A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1B0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46B6" w14:paraId="74FCCC81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93B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5640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14:paraId="588BB2F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14:paraId="025CA33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Процентная ставка (процентные ставки)по вкладу в процентах годовых – по договорам банковского вклада, в которых фиксированная величина или фиксированные величины процентной ставки стороны договора определяют в договоре банковского вклада при его заключении(постоянная процентная ставка). При наличии нескольких процентных ставок по вкладу указываются условие и период времени применения каждой из них. По вкладам до востребования процентная ставка указывается на дату заключения договора банковского вклада, а также указывается информация о возможности изменения банком размера выплачиваемых процентов в случае, если такая возможность предусмотрена договором банковского вклада.</w:t>
            </w:r>
          </w:p>
          <w:p w14:paraId="36ED47E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При применении переменной процентной ставки (процентной ставки, содержащей переменные величины, значения которых определяются исходя из обстоятельств, не зависящих от банка и аффилированных с ним лиц) – порядок ее определения и значение на дату заключения договора банковского вклада, порядок и срок информирования вкладчика об изменении такой процентной ставки</w:t>
            </w:r>
          </w:p>
          <w:p w14:paraId="47EC05C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4A61E6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F67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Ключевая ставка Банка России</w:t>
            </w:r>
            <w:r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  <w:t xml:space="preserve"> </w:t>
            </w:r>
          </w:p>
          <w:p w14:paraId="31A210C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</w:pPr>
          </w:p>
          <w:p w14:paraId="316A3CF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  <w:t xml:space="preserve">   %(             ) годовых*</w:t>
            </w:r>
          </w:p>
          <w:p w14:paraId="53B1C30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u w:val="single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(Цифрами и прописью)</w:t>
            </w:r>
          </w:p>
          <w:p w14:paraId="65946BB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9F61D5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* значение ключевой ставки Банка России на дату заключения договора</w:t>
            </w:r>
          </w:p>
          <w:p w14:paraId="41D0206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877865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* процентная ставка на дату заключения(пролонгации) договора определяется на основании информационного сообщения Банка России о решении значения ключевой ставки и в дальнейшем изменяется при принятии Банком России решения об изменении ключевой ставки</w:t>
            </w:r>
          </w:p>
          <w:p w14:paraId="4C6A055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  <w:p w14:paraId="1A5C6C05" w14:textId="38E31A8E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* информирование клиента об изменении процентной ставки осуществляется в соответствии с выбранным Вкладчиком способом обмена информацией между банком и вкладчиком, не позднее 1(одного) рабочего дня после размещения Информационного сообщения Банка Росси</w:t>
            </w:r>
            <w:r w:rsidR="007E621A"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и</w:t>
            </w: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 о решении значения ключевой ставки  </w:t>
            </w:r>
          </w:p>
          <w:p w14:paraId="66A8CE3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5DCBA66B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629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A3F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Порядок выплаты вкладчику процентов по вкладу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CB1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1C215B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DC8768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Причисление процентов к остатку Вклада производятся:</w:t>
            </w:r>
          </w:p>
          <w:p w14:paraId="7E772F5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- каждые 30(Тридцать) дней; </w:t>
            </w:r>
          </w:p>
          <w:p w14:paraId="3D5F2B5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по окончании срока хранения Вклада (основного или пролонгированного;</w:t>
            </w:r>
          </w:p>
          <w:p w14:paraId="070D83B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- при досрочном востребовании Вклада </w:t>
            </w:r>
          </w:p>
          <w:p w14:paraId="2C81D8C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C66C62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446B6" w14:paraId="5725C495" w14:textId="77777777" w:rsidTr="007446B6">
        <w:trPr>
          <w:trHeight w:val="272"/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4D2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D6A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14:paraId="17DC583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Процентная ставка (процентные ставки) либо порядок ее (их) определения при досрочном возврате суммы срочного вклада или ее части по требованию вкладчика</w:t>
            </w:r>
          </w:p>
          <w:p w14:paraId="7B316C3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FD8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0DA060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При частичном снятии средств с Вклада или досрочном изъятии Вклада проценты начисляются по ставке, действующей по данному виду Вклада на дату досрочного востребования вклада.</w:t>
            </w:r>
          </w:p>
        </w:tc>
      </w:tr>
      <w:tr w:rsidR="007446B6" w14:paraId="310AC38D" w14:textId="77777777" w:rsidTr="007446B6">
        <w:trPr>
          <w:trHeight w:val="272"/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6F0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8</w:t>
            </w:r>
          </w:p>
          <w:p w14:paraId="3BF6624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899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2BE68B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Возможность досрочного возврата части суммы срочного вклада без изменения условий о размере процентов и периодичность их выплаты, условия такого досрочного возврата, размер неснижаемого остатка суммы вклада</w:t>
            </w:r>
          </w:p>
          <w:p w14:paraId="0DC4748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012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BB367F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CA951A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Возможен досрочный возврат суммы Вклада без изменения процентной ставки, указанной в п.5 настоящих Условий и без изменений условий Вклада.</w:t>
            </w:r>
          </w:p>
          <w:p w14:paraId="36AED12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B9AC2A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B2B23D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59093CE8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C6E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706734C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A9B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27B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59A2E3C7" w14:textId="77777777" w:rsidR="007446B6" w:rsidRDefault="007446B6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0B4E1265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748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86F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4104" w14:textId="77777777" w:rsidR="007446B6" w:rsidRDefault="007446B6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46B6" w14:paraId="42A48BCD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5B4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4BB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Возможность и порядок продления срока срочного вклада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EABE" w14:textId="77777777" w:rsidR="007446B6" w:rsidRDefault="007446B6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4155743" w14:textId="77777777" w:rsidR="007446B6" w:rsidRDefault="007446B6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Производится многократная пролонгация Вклада без явки Вкладчика и при отсутствии требования Вкладчика о его возврате, на тот же срок, на условиях и под процентную ставку, действующих на день пролонгации по данному виду Вклада.</w:t>
            </w:r>
          </w:p>
          <w:p w14:paraId="31C16FD2" w14:textId="77777777" w:rsidR="007446B6" w:rsidRDefault="007446B6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* </w:t>
            </w:r>
            <w:r>
              <w:rPr>
                <w:rFonts w:ascii="Courier New" w:eastAsia="MS Mincho" w:hAnsi="Courier New" w:cs="Courier New"/>
                <w:b/>
                <w:bCs/>
                <w:sz w:val="18"/>
                <w:szCs w:val="18"/>
                <w:lang w:eastAsia="ru-RU"/>
              </w:rPr>
              <w:t>В день окончания срока Вклада и невостребования его Вкладчиком выплата процентов производится путем причисления суммы причитающихся процентов к сумме Вклада, при этом Договор считается продленным на новый срок размещения Вклада, равный сроку Вклада, указанному в Договоре. Началом нового срока Вклада считается день следующий за днем окончания срока Вклада, а первоначальной суммой считается фактический остаток по счету Вклада на начало операционного дня, следующего за датой продления Вклада.</w:t>
            </w:r>
          </w:p>
          <w:p w14:paraId="64EB93E5" w14:textId="77777777" w:rsidR="007446B6" w:rsidRDefault="007446B6">
            <w:pPr>
              <w:tabs>
                <w:tab w:val="num" w:pos="73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Банк не осуществляет пролонгацию в случае:</w:t>
            </w:r>
          </w:p>
          <w:p w14:paraId="3C959268" w14:textId="77777777" w:rsidR="007446B6" w:rsidRDefault="007446B6" w:rsidP="0050406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принятия Банком решения о прекращении приема денежных средств во вклад данного вида;</w:t>
            </w:r>
          </w:p>
          <w:p w14:paraId="511E6DEE" w14:textId="77777777" w:rsidR="007446B6" w:rsidRDefault="007446B6" w:rsidP="0050406D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ограничения количества пролонгаций по данному виду Вклада.</w:t>
            </w:r>
          </w:p>
          <w:p w14:paraId="176C2E9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C44E6C6" w14:textId="77777777" w:rsidR="007446B6" w:rsidRDefault="007446B6" w:rsidP="0050406D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В указанных случаях Банк обязан уведомить Вкладчика о принятых решениях в т.ч. путем размещения соответствующего объявления на сайте Банка по адресу в сети Интернет: </w:t>
            </w:r>
            <w:hyperlink r:id="rId5" w:history="1">
              <w:r>
                <w:rPr>
                  <w:rStyle w:val="a4"/>
                  <w:rFonts w:ascii="Courier New" w:eastAsia="MS Mincho" w:hAnsi="Courier New" w:cs="Courier New"/>
                  <w:b/>
                  <w:bCs/>
                  <w:sz w:val="20"/>
                  <w:szCs w:val="20"/>
                  <w:lang w:val="en-US" w:eastAsia="ru-RU"/>
                </w:rPr>
                <w:t>www</w:t>
              </w:r>
              <w:r>
                <w:rPr>
                  <w:rStyle w:val="a4"/>
                  <w:rFonts w:ascii="Courier New" w:eastAsia="MS Mincho" w:hAnsi="Courier New" w:cs="Courier New"/>
                  <w:b/>
                  <w:bCs/>
                  <w:sz w:val="20"/>
                  <w:szCs w:val="20"/>
                  <w:lang w:eastAsia="ru-RU"/>
                </w:rPr>
                <w:t>.</w:t>
              </w:r>
              <w:r>
                <w:rPr>
                  <w:rStyle w:val="a4"/>
                  <w:rFonts w:ascii="Courier New" w:eastAsia="MS Mincho" w:hAnsi="Courier New" w:cs="Courier New"/>
                  <w:b/>
                  <w:bCs/>
                  <w:sz w:val="20"/>
                  <w:szCs w:val="20"/>
                  <w:lang w:val="en-US" w:eastAsia="ru-RU"/>
                </w:rPr>
                <w:t>vlb</w:t>
              </w:r>
              <w:r>
                <w:rPr>
                  <w:rStyle w:val="a4"/>
                  <w:rFonts w:ascii="Courier New" w:eastAsia="MS Mincho" w:hAnsi="Courier New" w:cs="Courier New"/>
                  <w:b/>
                  <w:bCs/>
                  <w:sz w:val="20"/>
                  <w:szCs w:val="20"/>
                  <w:lang w:eastAsia="ru-RU"/>
                </w:rPr>
                <w:t>100.</w:t>
              </w:r>
              <w:r>
                <w:rPr>
                  <w:rStyle w:val="a4"/>
                  <w:rFonts w:ascii="Courier New" w:eastAsia="MS Mincho" w:hAnsi="Courier New" w:cs="Courier New"/>
                  <w:b/>
                  <w:bCs/>
                  <w:sz w:val="20"/>
                  <w:szCs w:val="20"/>
                  <w:lang w:val="en-US" w:eastAsia="ru-RU"/>
                </w:rPr>
                <w:t>ru</w:t>
              </w:r>
            </w:hyperlink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, на стендах в операционных залах Банка.</w:t>
            </w:r>
          </w:p>
          <w:p w14:paraId="6A55F41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 xml:space="preserve"> В день окончания срока Вклада и невостребования его Вкладчиком сумма Вклада и начисленные проценты перечисляются Банком на открытый на имя Вкладчика в Банке текущий счет. А в случае отсутствия текущего счета в Банке, открытого на имя Вкладчика перечисляются на счет неисполненных обязательств по договорам на привлечение ср-в клиентов по депозитам и пр.привл. ср-м физ.лиц</w:t>
            </w:r>
          </w:p>
          <w:p w14:paraId="7E8154F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446B6" w14:paraId="79F48979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00D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982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Способ обмена информацией между Банком и Вкладчиком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34B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6F325A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При личной явке Вкладчика;</w:t>
            </w:r>
          </w:p>
          <w:p w14:paraId="18F76BB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6EBA68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960E74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Посредством телефонной связи (в т.ч. СМС информирование);</w:t>
            </w:r>
          </w:p>
          <w:p w14:paraId="1595854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425EF3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E56302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□ Почтовым отправлением по месту жительства Вкладчика (заказным письмом с уведомлением)</w:t>
            </w:r>
          </w:p>
          <w:p w14:paraId="2B82EE1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8F5981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0D9789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1F4DDF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061BE721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D60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lastRenderedPageBreak/>
              <w:t xml:space="preserve">№ </w:t>
            </w:r>
          </w:p>
          <w:p w14:paraId="13009F5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57D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Условие договора банковского вклада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DCC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Содержание условия договора банковского вклада</w:t>
            </w:r>
          </w:p>
          <w:p w14:paraId="2FD47F1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38934E4B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8DB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9BB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876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7446B6" w14:paraId="3212DCF9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6A1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BBD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B03E58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Счет Вклада</w:t>
            </w:r>
          </w:p>
          <w:p w14:paraId="6F8904E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90E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659A63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849692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№ </w:t>
            </w:r>
          </w:p>
          <w:p w14:paraId="43542F0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F9DC17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5C250342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1CE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27E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69890E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5FC9CE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Первоначальный минимальный взнос </w:t>
            </w:r>
          </w:p>
          <w:p w14:paraId="171D1F3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692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100 000 000(Сто миллионов)рублей</w:t>
            </w:r>
          </w:p>
        </w:tc>
      </w:tr>
      <w:tr w:rsidR="007446B6" w14:paraId="710D4D98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E6E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13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E86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91CA1A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Расходные операции по Вкладу</w:t>
            </w:r>
          </w:p>
          <w:p w14:paraId="7A712C8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E44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32F72F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E5985E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По Вкладу могут совершаться расходные операции по снятию наличных денежных средств или по распоряжению Вкладчика перечислению их на банковский счет (счета)в пользу третьих лиц, либо на счета Вкладчика, открытые в Банке или в других кредитных организациях </w:t>
            </w:r>
          </w:p>
          <w:p w14:paraId="5B71EC0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C78602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06388ADA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BE7A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045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2017C6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Порядок начисления процентов по Вкладу </w:t>
            </w:r>
          </w:p>
          <w:p w14:paraId="1E0DA255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4B7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C436224" w14:textId="77777777" w:rsidR="0008551F" w:rsidRPr="0008551F" w:rsidRDefault="0008551F" w:rsidP="00085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</w:pPr>
            <w:r w:rsidRPr="0008551F">
              <w:rPr>
                <w:rFonts w:ascii="Courier New" w:eastAsia="MS Mincho" w:hAnsi="Courier New" w:cs="Courier New"/>
                <w:color w:val="000000" w:themeColor="text1"/>
                <w:sz w:val="20"/>
                <w:szCs w:val="20"/>
                <w:lang w:eastAsia="ru-RU"/>
              </w:rPr>
              <w:t>При начислении процентов по Вкладу в расчет принимается фактическое количество календарных дней в году (365 или 366 дней)</w:t>
            </w:r>
          </w:p>
          <w:p w14:paraId="3018B81A" w14:textId="77777777" w:rsidR="0008551F" w:rsidRPr="0008551F" w:rsidRDefault="0008551F" w:rsidP="000855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89A51A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Проценты на сумму вклада начисляются со дня, следующего за днём поступления денежных средств Вкладчика на счет, и до дня ее возврата включительно</w:t>
            </w:r>
          </w:p>
          <w:p w14:paraId="133C7A6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12313E8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039B354C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7D7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7DB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Информация о движении денежных средств по счету Вклада (выписки по счетам, справки и иные документы)</w:t>
            </w:r>
          </w:p>
          <w:p w14:paraId="2CC3C6A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DA7A63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3A1624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1432742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846126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C3F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D36F70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0AFC42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204C25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Банк по требованию (запросу) Вкладчика в любое время предоставляет информацию о движении денежных средств (выписки, справки и иные документы)</w:t>
            </w:r>
          </w:p>
          <w:p w14:paraId="7BA069F4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540DBA7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2DB82933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D11509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6C4C5F4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48F0251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FCCF9B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3593D69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</w:tc>
      </w:tr>
      <w:tr w:rsidR="007446B6" w14:paraId="2F3C7053" w14:textId="77777777" w:rsidTr="007446B6">
        <w:trPr>
          <w:jc w:val="right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8560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7927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Прочие условия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C92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Банк вправе отказать в заключении договора по основаниям, установленным действующим законодательством Российской Федерации, в том числе Федеральным законом от 07.08.2001 №115-ФЗ «О противодействии легализации (отмыванию) доходов, полученных преступным путем, и финансированию терроризма».</w:t>
            </w:r>
          </w:p>
          <w:p w14:paraId="69D08E80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00F7A589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 В течение всего срока Договора Банк вправе требовать от вкладчика документы, необходимые для идентификации Вкладчика </w:t>
            </w: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lastRenderedPageBreak/>
              <w:t>в соответствии с действующим законодательством Российской Федерации.</w:t>
            </w:r>
          </w:p>
          <w:p w14:paraId="379634D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 xml:space="preserve"> Вкладчик обязан:</w:t>
            </w:r>
          </w:p>
          <w:p w14:paraId="1876CFB1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в течение 3(трёх) рабочих дней извещать Банк об изменении:</w:t>
            </w:r>
          </w:p>
          <w:p w14:paraId="210A6A3B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фамилии, имени, отчества;</w:t>
            </w:r>
          </w:p>
          <w:p w14:paraId="279A245D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адреса регистрации;</w:t>
            </w:r>
          </w:p>
          <w:p w14:paraId="5F71CFD6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почтового адреса;</w:t>
            </w:r>
          </w:p>
          <w:p w14:paraId="2C3F2C98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  <w:t>- вида и реквизитов документа, удостоверяющего личность.</w:t>
            </w:r>
          </w:p>
          <w:p w14:paraId="0E9E939F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</w:p>
          <w:p w14:paraId="7491EA6A" w14:textId="77777777" w:rsidR="007446B6" w:rsidRDefault="007446B6" w:rsidP="0050406D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В случае несвоевременного предоставления (не предоставления) в Банк Информации, при наступлении в отношении Банка страхового случая, Банк не несет ответственности:</w:t>
            </w:r>
          </w:p>
          <w:p w14:paraId="1CDAD26E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- за увеличение сроков рассмотрения требования вкладчика о выплате возмещения по вкладам:</w:t>
            </w:r>
          </w:p>
          <w:p w14:paraId="11C78B6C" w14:textId="77777777" w:rsidR="007446B6" w:rsidRDefault="007446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ourier New" w:eastAsia="MS Mincho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MS Mincho" w:hAnsi="Courier New" w:cs="Courier New"/>
                <w:b/>
                <w:bCs/>
                <w:sz w:val="20"/>
                <w:szCs w:val="20"/>
                <w:lang w:eastAsia="ru-RU"/>
              </w:rPr>
              <w:t>- за отказ Агентства по страхованию вкладов в выплате страхового возмещения при невозможности идентифицировать Агентством личность Вкладчика</w:t>
            </w:r>
          </w:p>
        </w:tc>
      </w:tr>
    </w:tbl>
    <w:p w14:paraId="3703BFF7" w14:textId="77777777" w:rsidR="00A34209" w:rsidRDefault="00A34209"/>
    <w:sectPr w:rsidR="00A3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775FB"/>
    <w:multiLevelType w:val="hybridMultilevel"/>
    <w:tmpl w:val="F91AEAE2"/>
    <w:lvl w:ilvl="0" w:tplc="8C46C2B4">
      <w:start w:val="2"/>
      <w:numFmt w:val="bullet"/>
      <w:lvlText w:val="-"/>
      <w:lvlJc w:val="left"/>
      <w:pPr>
        <w:ind w:left="720" w:hanging="360"/>
      </w:pPr>
      <w:rPr>
        <w:rFonts w:ascii="Courier New" w:eastAsia="MS Mincho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01367"/>
    <w:multiLevelType w:val="hybridMultilevel"/>
    <w:tmpl w:val="C6B8FB4C"/>
    <w:lvl w:ilvl="0" w:tplc="5E9AC32A">
      <w:start w:val="2"/>
      <w:numFmt w:val="bullet"/>
      <w:lvlText w:val=""/>
      <w:lvlJc w:val="left"/>
      <w:pPr>
        <w:ind w:left="720" w:hanging="360"/>
      </w:pPr>
      <w:rPr>
        <w:rFonts w:ascii="Symbol" w:eastAsia="MS Mincho" w:hAnsi="Symbol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A5B06"/>
    <w:multiLevelType w:val="hybridMultilevel"/>
    <w:tmpl w:val="B8089A1A"/>
    <w:lvl w:ilvl="0" w:tplc="5A86458E">
      <w:start w:val="360"/>
      <w:numFmt w:val="bullet"/>
      <w:lvlText w:val=""/>
      <w:lvlJc w:val="left"/>
      <w:pPr>
        <w:ind w:left="720" w:hanging="360"/>
      </w:pPr>
      <w:rPr>
        <w:rFonts w:ascii="Symbol" w:eastAsia="MS Mincho" w:hAnsi="Symbol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4C"/>
    <w:rsid w:val="0008551F"/>
    <w:rsid w:val="007446B6"/>
    <w:rsid w:val="007E621A"/>
    <w:rsid w:val="00A34209"/>
    <w:rsid w:val="00E7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AC2C5"/>
  <w15:chartTrackingRefBased/>
  <w15:docId w15:val="{725166EF-8E59-4C76-A028-A6E4BAAF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6B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B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44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2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lb10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wq qw</dc:creator>
  <cp:keywords/>
  <dc:description/>
  <cp:lastModifiedBy>Федюкова Ольга Анатольевна</cp:lastModifiedBy>
  <cp:revision>4</cp:revision>
  <dcterms:created xsi:type="dcterms:W3CDTF">2022-09-28T09:30:00Z</dcterms:created>
  <dcterms:modified xsi:type="dcterms:W3CDTF">2024-11-28T08:47:00Z</dcterms:modified>
</cp:coreProperties>
</file>