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68BFD" w14:textId="77777777" w:rsidR="00BA0FBE" w:rsidRDefault="00BA0FBE" w:rsidP="00BA0FBE">
      <w:pPr>
        <w:spacing w:after="0" w:line="240" w:lineRule="atLeast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Приложение 1 </w:t>
      </w:r>
    </w:p>
    <w:p w14:paraId="4B556C7C" w14:textId="77777777" w:rsidR="00BA0FBE" w:rsidRDefault="00BA0FBE" w:rsidP="00BA0FBE">
      <w:pPr>
        <w:spacing w:after="0" w:line="240" w:lineRule="atLeast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К протоколу кредитного комитета АО «Великие Луки банк»</w:t>
      </w:r>
    </w:p>
    <w:p w14:paraId="272FA964" w14:textId="77777777" w:rsidR="00BA0FBE" w:rsidRDefault="00BA0FBE" w:rsidP="00BA0FBE">
      <w:pPr>
        <w:spacing w:after="0" w:line="240" w:lineRule="atLeast"/>
        <w:jc w:val="right"/>
        <w:rPr>
          <w:b/>
          <w:bCs/>
        </w:rPr>
      </w:pPr>
      <w:r>
        <w:rPr>
          <w:b/>
          <w:bCs/>
          <w:sz w:val="20"/>
          <w:szCs w:val="20"/>
        </w:rPr>
        <w:t>от «</w:t>
      </w:r>
      <w:r>
        <w:rPr>
          <w:b/>
          <w:bCs/>
          <w:sz w:val="20"/>
          <w:szCs w:val="20"/>
          <w:u w:val="single"/>
        </w:rPr>
        <w:t>26</w:t>
      </w:r>
      <w:r>
        <w:rPr>
          <w:b/>
          <w:bCs/>
          <w:sz w:val="20"/>
          <w:szCs w:val="20"/>
        </w:rPr>
        <w:t xml:space="preserve">» </w:t>
      </w:r>
      <w:r>
        <w:rPr>
          <w:b/>
          <w:bCs/>
          <w:sz w:val="20"/>
          <w:szCs w:val="20"/>
          <w:u w:val="single"/>
        </w:rPr>
        <w:t xml:space="preserve">сентября </w:t>
      </w:r>
      <w:r>
        <w:rPr>
          <w:b/>
          <w:bCs/>
          <w:sz w:val="20"/>
          <w:szCs w:val="20"/>
        </w:rPr>
        <w:t xml:space="preserve"> 2022г</w:t>
      </w:r>
      <w:r>
        <w:rPr>
          <w:b/>
          <w:bCs/>
        </w:rPr>
        <w:t>.</w:t>
      </w:r>
    </w:p>
    <w:p w14:paraId="6A821AB9" w14:textId="77777777" w:rsidR="00BA0FBE" w:rsidRDefault="00BA0FBE" w:rsidP="00BA0FBE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привлечения денежных средств физических лиц во вклады</w:t>
      </w:r>
    </w:p>
    <w:p w14:paraId="1C480A4B" w14:textId="77777777" w:rsidR="00BA0FBE" w:rsidRDefault="00BA0FBE" w:rsidP="00BA0FBE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АО «Великие Луки банк» </w:t>
      </w:r>
    </w:p>
    <w:p w14:paraId="12BFA5FB" w14:textId="77777777" w:rsidR="00BA0FBE" w:rsidRDefault="00BA0FBE" w:rsidP="00BA0FBE">
      <w:pPr>
        <w:spacing w:after="0" w:line="24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(вводятся в действие с 01.10.2022г.)</w:t>
      </w:r>
    </w:p>
    <w:p w14:paraId="5D4F53A4" w14:textId="77777777" w:rsidR="00BA0FBE" w:rsidRDefault="00BA0FBE" w:rsidP="00BA0FBE">
      <w:pPr>
        <w:spacing w:after="0" w:line="240" w:lineRule="atLeast"/>
        <w:jc w:val="center"/>
        <w:rPr>
          <w:b/>
          <w:bCs/>
          <w:sz w:val="24"/>
          <w:szCs w:val="24"/>
        </w:rPr>
      </w:pPr>
    </w:p>
    <w:p w14:paraId="4748A307" w14:textId="77777777" w:rsidR="00BA0FBE" w:rsidRDefault="00BA0FBE" w:rsidP="00BA0FB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  <w:r>
        <w:rPr>
          <w:rFonts w:ascii="Courier New" w:eastAsia="MS Mincho" w:hAnsi="Courier New" w:cs="Courier New"/>
          <w:b/>
          <w:sz w:val="28"/>
          <w:szCs w:val="28"/>
          <w:lang w:eastAsia="ru-RU"/>
        </w:rPr>
        <w:t>1.Условия договора банковского вклада</w:t>
      </w:r>
    </w:p>
    <w:p w14:paraId="48A32553" w14:textId="77777777" w:rsidR="00BA0FBE" w:rsidRDefault="00BA0FBE" w:rsidP="00BA0FBE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  <w:r>
        <w:rPr>
          <w:rFonts w:ascii="Courier New" w:eastAsia="MS Mincho" w:hAnsi="Courier New" w:cs="Courier New"/>
          <w:b/>
          <w:sz w:val="28"/>
          <w:szCs w:val="28"/>
          <w:lang w:eastAsia="ru-RU"/>
        </w:rPr>
        <w:t>«До востребования»</w:t>
      </w:r>
    </w:p>
    <w:tbl>
      <w:tblPr>
        <w:tblW w:w="1020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4805"/>
        <w:gridCol w:w="4819"/>
      </w:tblGrid>
      <w:tr w:rsidR="00BA0FBE" w14:paraId="1CE06E4C" w14:textId="77777777" w:rsidTr="00BA0FBE">
        <w:trPr>
          <w:trHeight w:val="717"/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BC9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№ </w:t>
            </w:r>
          </w:p>
          <w:p w14:paraId="49DDD13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940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E6D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3AE5D4D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1E22173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A0FBE" w14:paraId="56486438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15A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87E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38AF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BA0FBE" w14:paraId="5025DA7C" w14:textId="77777777" w:rsidTr="00BA0FBE">
        <w:trPr>
          <w:trHeight w:val="407"/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9F9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6F9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Вид вклада</w:t>
            </w:r>
          </w:p>
          <w:p w14:paraId="5D42113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E2D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32FC271F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«До востребования»</w:t>
            </w:r>
          </w:p>
          <w:p w14:paraId="0E7596C6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0F0D09EB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957F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09C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7FB96B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Сумма и валюта вклада</w:t>
            </w:r>
          </w:p>
          <w:p w14:paraId="69D21936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1CEF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______________________________________</w:t>
            </w:r>
          </w:p>
          <w:p w14:paraId="6A48E16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(цифрами и прописью)</w:t>
            </w:r>
          </w:p>
          <w:p w14:paraId="08FB16F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Рубль РФ</w:t>
            </w:r>
          </w:p>
          <w:p w14:paraId="23ABC0B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08E9EE5D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434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E80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пополнения вклада, имеющиеся ограничения на пополнения вклада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74EF" w14:textId="77777777" w:rsidR="00BA0FBE" w:rsidRDefault="00BA0FBE">
            <w:pPr>
              <w:tabs>
                <w:tab w:val="left" w:pos="74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Пополнение возможно без ограничений</w:t>
            </w:r>
          </w:p>
        </w:tc>
      </w:tr>
      <w:tr w:rsidR="00BA0FBE" w14:paraId="3C34171D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0AE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09D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Срок и дата возврата вклада – по срочным вкладам. </w:t>
            </w:r>
          </w:p>
          <w:p w14:paraId="49F66E7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 договорам банковского вклада, заключенным на условиях выдачи вклада по требованию, указываются слова «до востребования»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EAF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215B5C8D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48FA5DFF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«До востребования»</w:t>
            </w:r>
          </w:p>
          <w:p w14:paraId="47F4D22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62E3BA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6B3D66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0832580C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7F2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461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Процентная ставка (процентные ставки)по вкладу в процентах годовых – по договорам банковского вклада, в которых фиксированная величина или фиксированные величины процентной ставки стороны договора определяют в договоре банковского вклада при его заключении(постоянная процентная ставка). При наличии нескольких процентных ставок по вкладу указываются условие и период времени применения каждой из них. По вкладам до востребования процентная ставка указывается на дату заключения договора банковского вклада, а также указывается информация о возможности изменения банком размера выплачиваемых процентов в случае, если такая возможность предусмотрена договором банковского вклада.</w:t>
            </w:r>
          </w:p>
          <w:p w14:paraId="39DFD606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При применении переменной процентной ставки (процентной ставки, содержащей переменные величины, значения которых определяются исходя из обстоятельств, не зависящих от банка и аффилированных с ним лиц) – порядок ее определения и значение на дату заключения договора банковского вклада, порядок и срок информирования вкладчика об изменении такой процентной ставки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77F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46081F6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u w:val="single"/>
                <w:lang w:eastAsia="ru-RU"/>
              </w:rPr>
              <w:t>0,01%(Ноль целых одна сотая)           годовых*</w:t>
            </w:r>
          </w:p>
          <w:p w14:paraId="1566AEA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(Цифрами и прописью)</w:t>
            </w:r>
          </w:p>
          <w:p w14:paraId="1F47394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A6D0EE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значение процентной ставки Банка на дату заключения(пролонгации) договора</w:t>
            </w:r>
          </w:p>
          <w:p w14:paraId="14E1203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B9D9A3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 в дальнейшем изменение процентной ставки происходит в случае принятия Банком решения  об изменении ставки по данному виду вкладу</w:t>
            </w:r>
          </w:p>
        </w:tc>
      </w:tr>
      <w:tr w:rsidR="00BA0FBE" w14:paraId="036D1EE2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87F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5B34229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906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1E6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72AA1ED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579185B1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676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566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5BB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BA0FBE" w14:paraId="5B063B36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C2D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E53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Порядок выплаты вкладчику процентов по вкладу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D456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364C12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Причисление процентов к остатку Вклада производятся:</w:t>
            </w:r>
          </w:p>
          <w:p w14:paraId="0B52F42D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- за календарный год в последний рабочий день года, </w:t>
            </w:r>
          </w:p>
          <w:p w14:paraId="086E114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- при закрытии Вклада </w:t>
            </w:r>
          </w:p>
          <w:p w14:paraId="0198B93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BA0FBE" w14:paraId="4E13CF6E" w14:textId="77777777" w:rsidTr="00BA0FBE">
        <w:trPr>
          <w:trHeight w:val="272"/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645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BEE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Процентная ставка (процентные ставки) либо порядок ее (их) определения при досрочном возврате суммы срочного  вклада или ее части по требованию вкладчика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F84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      Не применимо </w:t>
            </w:r>
          </w:p>
          <w:p w14:paraId="7F1119B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7DE6FA16" w14:textId="77777777" w:rsidTr="00BA0FBE">
        <w:trPr>
          <w:trHeight w:val="272"/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7BE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8</w:t>
            </w:r>
          </w:p>
          <w:p w14:paraId="2BE3886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29A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B0F0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Возможность досрочного возврата части суммы срочного вклада без изменения условий о размере процентов и периодичность их выплаты, условия такого досрочного возврата, размер неснижаемого остатка суммы вклада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2CB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B0F0"/>
                <w:sz w:val="20"/>
                <w:szCs w:val="20"/>
                <w:lang w:eastAsia="ru-RU"/>
              </w:rPr>
            </w:pPr>
          </w:p>
          <w:p w14:paraId="7B36C59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      Не применимо</w:t>
            </w:r>
          </w:p>
          <w:p w14:paraId="7F4732F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B0F0"/>
                <w:sz w:val="20"/>
                <w:szCs w:val="20"/>
                <w:lang w:eastAsia="ru-RU"/>
              </w:rPr>
            </w:pPr>
          </w:p>
          <w:p w14:paraId="697AB9A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B0F0"/>
                <w:sz w:val="20"/>
                <w:szCs w:val="20"/>
                <w:lang w:eastAsia="ru-RU"/>
              </w:rPr>
            </w:pPr>
          </w:p>
          <w:p w14:paraId="2430C44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B0F0"/>
                <w:sz w:val="20"/>
                <w:szCs w:val="20"/>
                <w:lang w:eastAsia="ru-RU"/>
              </w:rPr>
            </w:pPr>
          </w:p>
        </w:tc>
      </w:tr>
      <w:tr w:rsidR="00BA0FBE" w14:paraId="683771AA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087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9B6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Возможность и порядок продления срока срочного вклада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17B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Не применимо</w:t>
            </w:r>
          </w:p>
        </w:tc>
      </w:tr>
      <w:tr w:rsidR="00BA0FBE" w14:paraId="3E4F1004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6AC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8DA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Способ обмена информацией между Банком и Вкладчиком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9B2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69C422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3A324C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При личной явке Вкладчика;</w:t>
            </w:r>
          </w:p>
          <w:p w14:paraId="34C749ED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C6BDC3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0EB2E8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Посредством телефонной связи (в т.ч. СМС информирование);</w:t>
            </w:r>
          </w:p>
          <w:p w14:paraId="4963B12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08FF80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E2B6D6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Почтовым отправлением по месту жительства Вкладчика (заказным письмом с уведомлением)</w:t>
            </w:r>
          </w:p>
          <w:p w14:paraId="3C23A3C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A0FBE" w14:paraId="2330CC67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338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C11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3BFE4B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Счет Вклада</w:t>
            </w:r>
          </w:p>
          <w:p w14:paraId="63B6597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C07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04A731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32DEA22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№ __________________________</w:t>
            </w:r>
          </w:p>
          <w:p w14:paraId="1E36463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33563FA1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612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4DC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Первоначальный минимальный взнос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07B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</w:pPr>
          </w:p>
          <w:p w14:paraId="17E18AB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</w:pPr>
          </w:p>
          <w:p w14:paraId="4294594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Не предусмотрен</w:t>
            </w:r>
          </w:p>
          <w:p w14:paraId="5032438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FF0000"/>
                <w:sz w:val="20"/>
                <w:szCs w:val="20"/>
                <w:lang w:eastAsia="ru-RU"/>
              </w:rPr>
            </w:pPr>
          </w:p>
        </w:tc>
      </w:tr>
      <w:tr w:rsidR="00BA0FBE" w14:paraId="1F26B7EF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E14D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13 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0A5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ED4440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Расходные операции по Вкладу</w:t>
            </w:r>
          </w:p>
          <w:p w14:paraId="3042C92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22A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По Вкладу могут совершаться расходные операции по снятию наличных денежных средств или по распоряжению Вкладчика перечислению их на банковский счет (счета)в пользу третьих лиц, либо на счета Вкладчика, открытые в Банке или в других кредитных организациях </w:t>
            </w:r>
          </w:p>
          <w:p w14:paraId="4ADD197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5497A42C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0D2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C6B8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17A85F1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Порядок начисления процентов по Вкладу </w:t>
            </w:r>
          </w:p>
          <w:p w14:paraId="3155559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31C25AD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082334F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6357" w14:textId="23FCA008" w:rsidR="00BA0FBE" w:rsidRPr="00EB1119" w:rsidRDefault="00EB11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EB1119"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</w:rPr>
              <w:t>При начислении процентов по Вкладу в расчет принимается фактическое количество календарных дней в году (365 или 366 дней</w:t>
            </w:r>
            <w:r w:rsidRPr="00EB1119"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</w:rPr>
              <w:t>)</w:t>
            </w:r>
          </w:p>
          <w:p w14:paraId="2853D880" w14:textId="77777777" w:rsidR="00BA0FBE" w:rsidRPr="00EB1119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EB1119"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 xml:space="preserve">Проценты на сумму Вклада начисляются </w:t>
            </w:r>
          </w:p>
          <w:p w14:paraId="33A55C73" w14:textId="77777777" w:rsidR="00BA0FBE" w:rsidRPr="00EB1119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EB1119"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со дня, следующего за днём поступления денежных средств Вкладчика на счет, и до дня ее возврата включительно.</w:t>
            </w:r>
          </w:p>
          <w:p w14:paraId="69D87939" w14:textId="77777777" w:rsidR="00BA0FBE" w:rsidRPr="00EB1119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  <w:p w14:paraId="30AF6A8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A0FBE" w14:paraId="35DB0F70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1CF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129E795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B6C1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FF6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1ED6E9F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BA0FBE" w14:paraId="7AAF439A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F994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7DF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D5A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BA0FBE" w14:paraId="303AC101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664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8B09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94B989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Информация о движении денежных средств по счету Вклада (выписки по счетам, справки и иные документы)</w:t>
            </w:r>
          </w:p>
          <w:p w14:paraId="042879F3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042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Банк по требованию (запросу) Вкладчика в любое время предоставляет информацию о движении денежных средств (выписки, справки и иные документы)</w:t>
            </w:r>
          </w:p>
        </w:tc>
      </w:tr>
      <w:tr w:rsidR="00BA0FBE" w14:paraId="5E3DAA36" w14:textId="77777777" w:rsidTr="00BA0FBE">
        <w:trPr>
          <w:jc w:val="right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1AB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49D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Прочие условия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385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Банк вправе отказать в заключении договора по основаниям, установленным действующим законодательством Российской Федерации, в том числе Федеральным законом от 07.08.2001 №115-ФЗ «О противодействии легализации (отмыванию) доходов, полученных преступным путем, и финансированию терроризма».</w:t>
            </w:r>
          </w:p>
          <w:p w14:paraId="573B16E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0EB4EFA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В течение всего срока Договора Банк вправе требовать от вкладчика документы, необходимые для идентификации Вкладчика в соответствии с действующим законодательством Российской Федерации.</w:t>
            </w:r>
          </w:p>
          <w:p w14:paraId="2E418E3C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Вкладчик обязан:</w:t>
            </w:r>
          </w:p>
          <w:p w14:paraId="23FA5D3B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в течение 3(трёх) рабочих дней извещать Банк об изменении:</w:t>
            </w:r>
          </w:p>
          <w:p w14:paraId="56D75435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фамилии, имени, отчества;</w:t>
            </w:r>
          </w:p>
          <w:p w14:paraId="1DC662CD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адреса регистрации;</w:t>
            </w:r>
          </w:p>
          <w:p w14:paraId="5EC91B60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почтового адреса;</w:t>
            </w:r>
          </w:p>
          <w:p w14:paraId="642C27F6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вида и реквизитов документа, удостоверяющего личность.</w:t>
            </w:r>
          </w:p>
          <w:p w14:paraId="0D05EC66" w14:textId="77777777" w:rsidR="00BA0FBE" w:rsidRDefault="00BA0FBE" w:rsidP="00A214C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В случае несвоевременного предоставления (не предоставления) в Банк Информации, при наступлении в отношении Банка страхового случая, Банк не несет ответственности:</w:t>
            </w:r>
          </w:p>
          <w:p w14:paraId="374ACB57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- за увеличение сроков рассмотрения требования вкладчика о выплате возмещения по вкладам:</w:t>
            </w:r>
          </w:p>
          <w:p w14:paraId="4B678A9E" w14:textId="77777777" w:rsidR="00BA0FBE" w:rsidRDefault="00BA0F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- за отказ Агентства по страхованию вкладов в выплате страхового возмещения при невозможности идентифицировать Агентством личность Вкладчика</w:t>
            </w:r>
          </w:p>
        </w:tc>
      </w:tr>
    </w:tbl>
    <w:p w14:paraId="223DABF2" w14:textId="77777777" w:rsidR="0096217F" w:rsidRDefault="0096217F"/>
    <w:sectPr w:rsidR="00962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6A5B06"/>
    <w:multiLevelType w:val="hybridMultilevel"/>
    <w:tmpl w:val="B8089A1A"/>
    <w:lvl w:ilvl="0" w:tplc="5A86458E">
      <w:start w:val="360"/>
      <w:numFmt w:val="bullet"/>
      <w:lvlText w:val=""/>
      <w:lvlJc w:val="left"/>
      <w:pPr>
        <w:ind w:left="720" w:hanging="360"/>
      </w:pPr>
      <w:rPr>
        <w:rFonts w:ascii="Symbol" w:eastAsia="MS Mincho" w:hAnsi="Symbol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641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67"/>
    <w:rsid w:val="0096217F"/>
    <w:rsid w:val="00BA0FBE"/>
    <w:rsid w:val="00EB1119"/>
    <w:rsid w:val="00F9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F204"/>
  <w15:chartTrackingRefBased/>
  <w15:docId w15:val="{8B1B4463-ABD0-4E46-923B-02860F4C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F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795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wq qw</dc:creator>
  <cp:keywords/>
  <dc:description/>
  <cp:lastModifiedBy>wq qw</cp:lastModifiedBy>
  <cp:revision>4</cp:revision>
  <dcterms:created xsi:type="dcterms:W3CDTF">2022-09-28T09:25:00Z</dcterms:created>
  <dcterms:modified xsi:type="dcterms:W3CDTF">2022-09-29T11:22:00Z</dcterms:modified>
</cp:coreProperties>
</file>